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792"/>
        <w:gridCol w:w="47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3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ans-serif" w:hAnsi="sans-serif" w:eastAsia="sans-serif" w:cs="sans-serif"/>
                <w:caps w:val="0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47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9"/>
                <w:szCs w:val="19"/>
              </w:rPr>
              <w:t>报考条件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</w:trPr>
        <w:tc>
          <w:tcPr>
            <w:tcW w:w="133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9"/>
                <w:szCs w:val="19"/>
              </w:rPr>
              <w:t>预防保健科</w:t>
            </w:r>
          </w:p>
        </w:tc>
        <w:tc>
          <w:tcPr>
            <w:tcW w:w="792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9"/>
                <w:szCs w:val="19"/>
              </w:rPr>
              <w:t>1名</w:t>
            </w:r>
          </w:p>
        </w:tc>
        <w:tc>
          <w:tcPr>
            <w:tcW w:w="4728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9"/>
                <w:szCs w:val="19"/>
              </w:rPr>
              <w:t>预防医学专业本科学历，35周岁以下，需取得预防医学执业医师资格，中级职称可放宽到40周岁。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A4034"/>
    <w:rsid w:val="043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2020-01-03T08:57:00Z</dcterms:created>
  <dc:creator>ぺ灬cc果冻ル</dc:creator>
  <cp:lastModifiedBy>ぺ灬cc果冻ル</cp:lastModifiedBy>
  <dcterms:modified xsi:type="dcterms:W3CDTF">2020-01-03T08:58:33Z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