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</w:rPr>
      </w:pPr>
      <w:bookmarkStart w:id="1" w:name="_GoBack"/>
      <w:r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</w:rPr>
        <w:t>肇庆市鼎湖区财政局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</w:p>
    <w:bookmarkEnd w:id="1"/>
    <w:tbl>
      <w:tblPr>
        <w:tblW w:w="80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839"/>
        <w:gridCol w:w="1653"/>
        <w:gridCol w:w="826"/>
        <w:gridCol w:w="826"/>
        <w:gridCol w:w="826"/>
        <w:gridCol w:w="1778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岗位简介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17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01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从事农业农村财务管理工作。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应届、往届毕业生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全日制本科及以上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财政学（B020201）、会计学    （A120201）、（B120203）、审计学（B120207）、财务管理（B120204）、财务会计教育（B120213）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6547D"/>
    <w:rsid w:val="4BC6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2020-10-19T11:15:00Z</dcterms:created>
  <dc:creator>ASUS</dc:creator>
  <cp:lastModifiedBy>ASUS</cp:lastModifiedBy>
  <dcterms:modified xsi:type="dcterms:W3CDTF">2020-10-19T11:15:39Z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