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9494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8"/>
          <w:szCs w:val="28"/>
          <w:lang w:val="en-US" w:eastAsia="zh-CN" w:bidi="ar"/>
        </w:rPr>
        <w:t>2020年龙岩市“支企服务专员”公开招募岗位计划表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362"/>
        <w:gridCol w:w="608"/>
        <w:gridCol w:w="936"/>
        <w:gridCol w:w="951"/>
        <w:gridCol w:w="939"/>
        <w:gridCol w:w="376"/>
        <w:gridCol w:w="472"/>
        <w:gridCol w:w="705"/>
        <w:gridCol w:w="14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学历类别</w:t>
            </w:r>
          </w:p>
        </w:tc>
        <w:tc>
          <w:tcPr>
            <w:tcW w:w="36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494949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经济金融服务岗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国际经济与贸易、经济学、应用经济学、经济统计与分析、经济与行政管理、金融学、经济与金融、工商企业管理、金融管理专业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智能机械服务岗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机械类、交通运输装备类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生物医药服务岗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化工与制药类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环境科技服务岗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环境生态类、环境安全技术类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综合服务岗一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新闻传播学类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60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综合服务岗二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学士或以上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全日制普通高校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艺术设计类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20" w:lineRule="atLeast"/>
        <w:ind w:left="0" w:right="0" w:firstLine="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494949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8"/>
          <w:szCs w:val="28"/>
          <w:lang w:val="en-US" w:eastAsia="zh-CN" w:bidi="ar"/>
        </w:rPr>
        <w:t>备注：专业审核依据《福建省机关事业单位招考专业指导目录（</w:t>
      </w: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1"/>
          <w:szCs w:val="21"/>
          <w:lang w:val="en-US" w:eastAsia="zh-CN" w:bidi="ar"/>
        </w:rPr>
        <w:t>2020年）</w:t>
      </w:r>
      <w:r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28"/>
          <w:szCs w:val="28"/>
          <w:lang w:val="en-US" w:eastAsia="zh-CN" w:bidi="ar"/>
        </w:rPr>
        <w:t>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53200"/>
    <w:rsid w:val="499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2020-08-18T00:51:00Z</dcterms:created>
  <dc:creator>Administrator</dc:creator>
  <cp:lastModifiedBy>Administrator</cp:lastModifiedBy>
  <dcterms:modified xsi:type="dcterms:W3CDTF">2020-08-18T02:36:23Z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